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7013E" w:rsidRPr="0067013E" w:rsidRDefault="0067013E" w:rsidP="004B5169">
      <w:pPr>
        <w:pStyle w:val="berschrift1"/>
        <w:numPr>
          <w:ilvl w:val="0"/>
          <w:numId w:val="0"/>
        </w:numPr>
        <w:rPr>
          <w:rFonts w:ascii="Verdana" w:hAnsi="Verdana"/>
          <w:kern w:val="0"/>
        </w:rPr>
      </w:pPr>
      <w:r w:rsidRPr="0067013E">
        <w:rPr>
          <w:rFonts w:ascii="Verdana" w:hAnsi="Verdana"/>
          <w:kern w:val="0"/>
        </w:rPr>
        <w:t>Priority Area 9 “To Invest in People and Skills</w:t>
      </w:r>
      <w:proofErr w:type="gramStart"/>
      <w:r w:rsidRPr="0067013E">
        <w:rPr>
          <w:rFonts w:ascii="Verdana" w:hAnsi="Verdana"/>
          <w:kern w:val="0"/>
        </w:rPr>
        <w:t>“ of</w:t>
      </w:r>
      <w:proofErr w:type="gramEnd"/>
      <w:r w:rsidRPr="0067013E">
        <w:rPr>
          <w:rFonts w:ascii="Verdana" w:hAnsi="Verdana"/>
          <w:kern w:val="0"/>
        </w:rPr>
        <w:t xml:space="preserve"> the European Union Strategy for the Danube Region (EUSDR)</w:t>
      </w:r>
    </w:p>
    <w:p w:rsidR="0067013E" w:rsidRDefault="0067013E" w:rsidP="004B5169">
      <w:pPr>
        <w:jc w:val="center"/>
        <w:rPr>
          <w:rFonts w:ascii="Verdana" w:hAnsi="Verdana"/>
          <w:lang w:val="en-US"/>
        </w:rPr>
      </w:pPr>
      <w:bookmarkStart w:id="0" w:name="_GoBack"/>
      <w:bookmarkEnd w:id="0"/>
    </w:p>
    <w:p w:rsidR="0067013E" w:rsidRDefault="007636A0" w:rsidP="004B5169">
      <w:pPr>
        <w:jc w:val="center"/>
        <w:rPr>
          <w:rFonts w:ascii="Verdana" w:hAnsi="Verdana"/>
          <w:lang w:val="en-US"/>
        </w:rPr>
      </w:pPr>
      <w:r>
        <w:rPr>
          <w:rFonts w:ascii="Verdana" w:hAnsi="Verdana"/>
          <w:lang w:val="en-US"/>
        </w:rPr>
        <w:t xml:space="preserve">As of 29 </w:t>
      </w:r>
      <w:r w:rsidR="0091665A">
        <w:rPr>
          <w:rFonts w:ascii="Verdana" w:hAnsi="Verdana"/>
          <w:lang w:val="en-US"/>
        </w:rPr>
        <w:t xml:space="preserve">November </w:t>
      </w:r>
      <w:r w:rsidR="0067013E">
        <w:rPr>
          <w:rFonts w:ascii="Verdana" w:hAnsi="Verdana"/>
          <w:lang w:val="en-US"/>
        </w:rPr>
        <w:t>201</w:t>
      </w:r>
      <w:r w:rsidR="0091665A">
        <w:rPr>
          <w:rFonts w:ascii="Verdana" w:hAnsi="Verdana"/>
          <w:lang w:val="en-US"/>
        </w:rPr>
        <w:t>2</w:t>
      </w:r>
    </w:p>
    <w:p w:rsidR="0067013E" w:rsidRDefault="0067013E" w:rsidP="004B5169">
      <w:pPr>
        <w:pStyle w:val="berschrift1"/>
        <w:numPr>
          <w:ilvl w:val="0"/>
          <w:numId w:val="0"/>
        </w:numPr>
        <w:rPr>
          <w:rFonts w:ascii="Verdana" w:hAnsi="Verdana"/>
        </w:rPr>
      </w:pPr>
      <w:r>
        <w:rPr>
          <w:rFonts w:ascii="Verdana" w:hAnsi="Verdana"/>
        </w:rPr>
        <w:t>Guidelines for the Functioning of the Steering Group</w:t>
      </w:r>
    </w:p>
    <w:p w:rsidR="0067013E" w:rsidRDefault="0067013E" w:rsidP="004B5169">
      <w:pPr>
        <w:pStyle w:val="berschrift2"/>
        <w:numPr>
          <w:ilvl w:val="0"/>
          <w:numId w:val="0"/>
        </w:numPr>
      </w:pPr>
      <w:r>
        <w:t>Preamble</w:t>
      </w:r>
    </w:p>
    <w:p w:rsidR="0067013E" w:rsidRDefault="0067013E">
      <w:pPr>
        <w:spacing w:after="360"/>
        <w:jc w:val="both"/>
        <w:rPr>
          <w:rFonts w:ascii="Verdana" w:hAnsi="Verdana" w:cs="Arial"/>
          <w:sz w:val="20"/>
          <w:szCs w:val="20"/>
          <w:lang w:val="en-US"/>
        </w:rPr>
      </w:pPr>
      <w:r>
        <w:rPr>
          <w:rFonts w:ascii="Verdana" w:hAnsi="Verdana" w:cs="Arial"/>
          <w:sz w:val="20"/>
          <w:szCs w:val="20"/>
          <w:lang w:val="en-US"/>
        </w:rPr>
        <w:t>Representatives of the Countries of the Danube Region</w:t>
      </w:r>
    </w:p>
    <w:p w:rsidR="0067013E" w:rsidRDefault="0067013E">
      <w:pPr>
        <w:spacing w:after="360"/>
        <w:jc w:val="both"/>
        <w:rPr>
          <w:rFonts w:ascii="Verdana" w:hAnsi="Verdana" w:cs="Arial"/>
          <w:sz w:val="20"/>
          <w:szCs w:val="20"/>
          <w:lang w:val="en-US"/>
        </w:rPr>
      </w:pPr>
      <w:r>
        <w:rPr>
          <w:rFonts w:ascii="Verdana" w:hAnsi="Verdana" w:cs="Arial"/>
          <w:sz w:val="20"/>
          <w:szCs w:val="20"/>
          <w:lang w:val="en-US"/>
        </w:rPr>
        <w:t>on the basis of the</w:t>
      </w:r>
    </w:p>
    <w:p w:rsidR="0067013E" w:rsidRDefault="0067013E">
      <w:pPr>
        <w:pStyle w:val="Listenabsatz1"/>
        <w:numPr>
          <w:ilvl w:val="0"/>
          <w:numId w:val="9"/>
        </w:numPr>
        <w:spacing w:after="360"/>
        <w:jc w:val="both"/>
        <w:rPr>
          <w:rFonts w:ascii="Verdana" w:hAnsi="Verdana" w:cs="Arial"/>
          <w:sz w:val="20"/>
          <w:szCs w:val="20"/>
          <w:lang w:val="en-US"/>
        </w:rPr>
      </w:pPr>
      <w:r>
        <w:rPr>
          <w:rFonts w:ascii="Verdana" w:hAnsi="Verdana" w:cs="Arial"/>
          <w:sz w:val="20"/>
          <w:szCs w:val="20"/>
          <w:lang w:val="en-US"/>
        </w:rPr>
        <w:t>European Union Strategy for the Danube Region (COM(2010)715) of 8 December 2010 and the accompanying Commission staff working document “Action Plan” (SEC(2010)1489, 1490 and 1491) and the</w:t>
      </w:r>
    </w:p>
    <w:p w:rsidR="0067013E" w:rsidRDefault="0067013E">
      <w:pPr>
        <w:pStyle w:val="Listenabsatz1"/>
        <w:numPr>
          <w:ilvl w:val="0"/>
          <w:numId w:val="9"/>
        </w:numPr>
        <w:spacing w:after="360"/>
        <w:jc w:val="both"/>
        <w:rPr>
          <w:rFonts w:ascii="Verdana" w:hAnsi="Verdana" w:cs="Arial"/>
          <w:sz w:val="20"/>
          <w:szCs w:val="20"/>
          <w:lang w:val="en-US"/>
        </w:rPr>
      </w:pPr>
      <w:r>
        <w:rPr>
          <w:rFonts w:ascii="Verdana" w:hAnsi="Verdana" w:cs="Arial"/>
          <w:sz w:val="20"/>
          <w:szCs w:val="20"/>
          <w:lang w:val="en-US"/>
        </w:rPr>
        <w:t>Council Conclusions on the European Union Strategy of the 3083</w:t>
      </w:r>
      <w:r>
        <w:rPr>
          <w:rFonts w:ascii="Verdana" w:hAnsi="Verdana" w:cs="Arial"/>
          <w:sz w:val="20"/>
          <w:szCs w:val="20"/>
          <w:vertAlign w:val="superscript"/>
          <w:lang w:val="en-US"/>
        </w:rPr>
        <w:t>rd</w:t>
      </w:r>
      <w:r>
        <w:rPr>
          <w:rFonts w:ascii="Verdana" w:hAnsi="Verdana" w:cs="Arial"/>
          <w:sz w:val="20"/>
          <w:szCs w:val="20"/>
          <w:lang w:val="en-US"/>
        </w:rPr>
        <w:t xml:space="preserve"> General Affairs Council Meeting (8388/11) of 13 April 2011</w:t>
      </w:r>
    </w:p>
    <w:p w:rsidR="0067013E" w:rsidRDefault="0067013E">
      <w:pPr>
        <w:pStyle w:val="Listenabsatz1"/>
        <w:numPr>
          <w:ilvl w:val="0"/>
          <w:numId w:val="9"/>
        </w:numPr>
        <w:spacing w:after="360"/>
        <w:jc w:val="both"/>
        <w:rPr>
          <w:rFonts w:ascii="Verdana" w:hAnsi="Verdana" w:cs="Arial"/>
          <w:sz w:val="20"/>
          <w:szCs w:val="20"/>
          <w:lang w:val="en-US"/>
        </w:rPr>
      </w:pPr>
      <w:r>
        <w:rPr>
          <w:rFonts w:ascii="Verdana" w:hAnsi="Verdana" w:cs="Arial"/>
          <w:sz w:val="20"/>
          <w:szCs w:val="20"/>
          <w:lang w:val="en-US"/>
        </w:rPr>
        <w:t>Conclusions of the European Council (EUCO 23/11) of 23/24 June 2011</w:t>
      </w:r>
    </w:p>
    <w:p w:rsidR="004F3A9F" w:rsidRDefault="0067013E">
      <w:pPr>
        <w:spacing w:after="360"/>
        <w:jc w:val="both"/>
        <w:rPr>
          <w:rFonts w:ascii="Verdana" w:hAnsi="Verdana" w:cs="Arial"/>
          <w:sz w:val="20"/>
          <w:szCs w:val="20"/>
          <w:lang w:val="en-US"/>
        </w:rPr>
      </w:pPr>
      <w:r>
        <w:rPr>
          <w:rFonts w:ascii="Verdana" w:hAnsi="Verdana" w:cs="Arial"/>
          <w:sz w:val="20"/>
          <w:szCs w:val="20"/>
          <w:lang w:val="en-US"/>
        </w:rPr>
        <w:t>have established a Steering Group (hereinafter referred to as “SG”) of the Priority Area “To Invest in People and Skills” of the European Union Strategy for the Danube Region (henceforth referred to as “EUSDR”).</w:t>
      </w:r>
    </w:p>
    <w:p w:rsidR="0067013E" w:rsidRDefault="0067013E" w:rsidP="00FC5A05">
      <w:pPr>
        <w:pStyle w:val="berschrift2"/>
      </w:pPr>
      <w:r>
        <w:t>Membership in the Steering Group</w:t>
      </w:r>
    </w:p>
    <w:p w:rsidR="0067013E" w:rsidRDefault="0067013E" w:rsidP="004F3A9F">
      <w:pPr>
        <w:pStyle w:val="Listenabsatz1"/>
        <w:numPr>
          <w:ilvl w:val="1"/>
          <w:numId w:val="7"/>
        </w:numPr>
        <w:spacing w:after="120"/>
        <w:jc w:val="both"/>
        <w:rPr>
          <w:rFonts w:ascii="Verdana" w:hAnsi="Verdana" w:cs="Arial"/>
          <w:sz w:val="20"/>
          <w:szCs w:val="20"/>
          <w:lang w:val="en-US"/>
        </w:rPr>
      </w:pPr>
      <w:r>
        <w:rPr>
          <w:rFonts w:ascii="Verdana" w:hAnsi="Verdana" w:cs="Arial"/>
          <w:sz w:val="20"/>
          <w:szCs w:val="20"/>
          <w:lang w:val="en-US"/>
        </w:rPr>
        <w:t>There are three types of membership in the SG:</w:t>
      </w:r>
    </w:p>
    <w:p w:rsidR="0067013E" w:rsidRDefault="0067013E" w:rsidP="004F3A9F">
      <w:pPr>
        <w:pStyle w:val="Listenabsatz1"/>
        <w:numPr>
          <w:ilvl w:val="0"/>
          <w:numId w:val="4"/>
        </w:numPr>
        <w:spacing w:after="120"/>
        <w:ind w:left="1077" w:hanging="357"/>
        <w:jc w:val="both"/>
        <w:rPr>
          <w:rFonts w:ascii="Verdana" w:hAnsi="Verdana" w:cs="Arial"/>
          <w:sz w:val="20"/>
          <w:szCs w:val="20"/>
          <w:lang w:val="en-US"/>
        </w:rPr>
      </w:pPr>
      <w:r>
        <w:rPr>
          <w:rFonts w:ascii="Verdana" w:hAnsi="Verdana" w:cs="Arial"/>
          <w:sz w:val="20"/>
          <w:szCs w:val="20"/>
          <w:lang w:val="en-US"/>
        </w:rPr>
        <w:t>Members nominated by the participating states with a right to vote</w:t>
      </w:r>
    </w:p>
    <w:p w:rsidR="0067013E" w:rsidRDefault="0067013E" w:rsidP="004F3A9F">
      <w:pPr>
        <w:pStyle w:val="Listenabsatz1"/>
        <w:numPr>
          <w:ilvl w:val="0"/>
          <w:numId w:val="4"/>
        </w:numPr>
        <w:spacing w:after="120"/>
        <w:ind w:left="1077" w:hanging="357"/>
        <w:jc w:val="both"/>
        <w:rPr>
          <w:rFonts w:ascii="Verdana" w:hAnsi="Verdana" w:cs="Arial"/>
          <w:sz w:val="20"/>
          <w:szCs w:val="20"/>
          <w:lang w:val="en-US"/>
        </w:rPr>
      </w:pPr>
      <w:r>
        <w:rPr>
          <w:rFonts w:ascii="Verdana" w:hAnsi="Verdana" w:cs="Arial"/>
          <w:sz w:val="20"/>
          <w:szCs w:val="20"/>
          <w:lang w:val="en-US"/>
        </w:rPr>
        <w:t>Other regular members with an observer status</w:t>
      </w:r>
    </w:p>
    <w:p w:rsidR="0067013E" w:rsidRDefault="0067013E" w:rsidP="008D1D7C">
      <w:pPr>
        <w:pStyle w:val="Listenabsatz1"/>
        <w:numPr>
          <w:ilvl w:val="0"/>
          <w:numId w:val="4"/>
        </w:numPr>
        <w:spacing w:after="360"/>
        <w:ind w:left="1077" w:hanging="357"/>
        <w:jc w:val="both"/>
        <w:rPr>
          <w:rFonts w:ascii="Verdana" w:hAnsi="Verdana" w:cs="Arial"/>
          <w:sz w:val="20"/>
          <w:szCs w:val="20"/>
          <w:lang w:val="en-US"/>
        </w:rPr>
      </w:pPr>
      <w:r>
        <w:rPr>
          <w:rFonts w:ascii="Verdana" w:hAnsi="Verdana" w:cs="Arial"/>
          <w:sz w:val="20"/>
          <w:szCs w:val="20"/>
          <w:lang w:val="en-US"/>
        </w:rPr>
        <w:t>Invited members with an advisory capacity</w:t>
      </w:r>
    </w:p>
    <w:p w:rsidR="0067013E" w:rsidRDefault="0067013E">
      <w:pPr>
        <w:pStyle w:val="Listenabsatz1"/>
        <w:numPr>
          <w:ilvl w:val="1"/>
          <w:numId w:val="7"/>
        </w:numPr>
        <w:spacing w:after="360"/>
        <w:jc w:val="both"/>
        <w:rPr>
          <w:rFonts w:ascii="Verdana" w:hAnsi="Verdana" w:cs="Arial"/>
          <w:sz w:val="20"/>
          <w:szCs w:val="20"/>
          <w:lang w:val="en-US"/>
        </w:rPr>
      </w:pPr>
      <w:r>
        <w:rPr>
          <w:rFonts w:ascii="Verdana" w:hAnsi="Verdana" w:cs="Arial"/>
          <w:sz w:val="20"/>
          <w:szCs w:val="20"/>
          <w:lang w:val="en-US"/>
        </w:rPr>
        <w:t>The following fourteen participating States of the EUSDR are invited to participate in the SG (in alphabetical order): Austria, Bosnia and Herzegovina, Bulgaria, Croatia, Czech Republic, Germany, Hungary, Republic of Moldova, Montenegro, Romania, Serbia, Slovenia, Slovakia and Ukraine.</w:t>
      </w:r>
    </w:p>
    <w:p w:rsidR="0067013E" w:rsidRDefault="0067013E">
      <w:pPr>
        <w:pStyle w:val="Listenabsatz1"/>
        <w:numPr>
          <w:ilvl w:val="1"/>
          <w:numId w:val="7"/>
        </w:numPr>
        <w:spacing w:after="360"/>
        <w:jc w:val="both"/>
        <w:rPr>
          <w:rFonts w:ascii="Verdana" w:hAnsi="Verdana" w:cs="Arial"/>
          <w:sz w:val="20"/>
          <w:szCs w:val="20"/>
          <w:lang w:val="en-US"/>
        </w:rPr>
      </w:pPr>
      <w:r>
        <w:rPr>
          <w:rFonts w:ascii="Verdana" w:hAnsi="Verdana" w:cs="Arial"/>
          <w:sz w:val="20"/>
          <w:szCs w:val="20"/>
          <w:lang w:val="en-US"/>
        </w:rPr>
        <w:lastRenderedPageBreak/>
        <w:t>Each State that has expressed the interest in participating in PA 9 of EUSDR through nominating representatives has equal rights and duties, regardless of its status as EU-Member State, Candidate or Potential Candidate State or State of the European Neighborhood.</w:t>
      </w:r>
    </w:p>
    <w:p w:rsidR="0067013E" w:rsidRDefault="0067013E">
      <w:pPr>
        <w:pStyle w:val="Listenabsatz1"/>
        <w:numPr>
          <w:ilvl w:val="1"/>
          <w:numId w:val="7"/>
        </w:numPr>
        <w:spacing w:after="360"/>
        <w:jc w:val="both"/>
        <w:rPr>
          <w:rFonts w:ascii="Verdana" w:hAnsi="Verdana" w:cs="Arial"/>
          <w:sz w:val="20"/>
          <w:szCs w:val="20"/>
          <w:lang w:val="en-US"/>
        </w:rPr>
      </w:pPr>
      <w:r>
        <w:rPr>
          <w:rFonts w:ascii="Verdana" w:hAnsi="Verdana" w:cs="Arial"/>
          <w:sz w:val="20"/>
          <w:szCs w:val="20"/>
          <w:lang w:val="en-US"/>
        </w:rPr>
        <w:t>Each of the fourteen states participating in the EUSDR can nominate not more than two SG members with a right to vote. Austria and the Republic of Moldova have both the right to nominate two SG members in addition to the PACs. In this case, PACs delegate their right to vote.</w:t>
      </w:r>
    </w:p>
    <w:p w:rsidR="0067013E" w:rsidRDefault="0067013E">
      <w:pPr>
        <w:pStyle w:val="Listenabsatz1"/>
        <w:numPr>
          <w:ilvl w:val="1"/>
          <w:numId w:val="7"/>
        </w:numPr>
        <w:spacing w:after="360"/>
        <w:jc w:val="both"/>
        <w:rPr>
          <w:rFonts w:ascii="Verdana" w:hAnsi="Verdana" w:cs="Arial"/>
          <w:sz w:val="20"/>
          <w:szCs w:val="20"/>
          <w:lang w:val="en-US"/>
        </w:rPr>
      </w:pPr>
      <w:r>
        <w:rPr>
          <w:rFonts w:ascii="Verdana" w:hAnsi="Verdana" w:cs="Arial"/>
          <w:sz w:val="20"/>
          <w:szCs w:val="20"/>
          <w:lang w:val="en-US"/>
        </w:rPr>
        <w:t>The SG takes decisions regarding the acceptance of other regular members. If not decided otherwise, other regular members refrain from voting rights.</w:t>
      </w:r>
    </w:p>
    <w:p w:rsidR="0067013E" w:rsidRDefault="0067013E">
      <w:pPr>
        <w:pStyle w:val="Listenabsatz1"/>
        <w:numPr>
          <w:ilvl w:val="1"/>
          <w:numId w:val="7"/>
        </w:numPr>
        <w:spacing w:after="360"/>
        <w:jc w:val="both"/>
        <w:rPr>
          <w:rFonts w:ascii="Verdana" w:hAnsi="Verdana" w:cs="Arial"/>
          <w:sz w:val="20"/>
          <w:szCs w:val="20"/>
          <w:lang w:val="en-US"/>
        </w:rPr>
      </w:pPr>
      <w:r>
        <w:rPr>
          <w:rFonts w:ascii="Verdana" w:hAnsi="Verdana" w:cs="Arial"/>
          <w:sz w:val="20"/>
          <w:szCs w:val="20"/>
          <w:lang w:val="en-US"/>
        </w:rPr>
        <w:t>Other regular members with an observer status are representatives of the European Commission, the European Training Foundation and other relevant cooperation mechanisms and initiatives, as decided by the SG.</w:t>
      </w:r>
    </w:p>
    <w:p w:rsidR="0067013E" w:rsidRDefault="0067013E">
      <w:pPr>
        <w:pStyle w:val="Listenabsatz1"/>
        <w:numPr>
          <w:ilvl w:val="1"/>
          <w:numId w:val="7"/>
        </w:numPr>
        <w:rPr>
          <w:rFonts w:ascii="Verdana" w:hAnsi="Verdana" w:cs="Arial"/>
          <w:sz w:val="20"/>
          <w:szCs w:val="20"/>
          <w:lang w:val="en-US"/>
        </w:rPr>
      </w:pPr>
      <w:r>
        <w:rPr>
          <w:rFonts w:ascii="Verdana" w:hAnsi="Verdana" w:cs="Arial"/>
          <w:sz w:val="20"/>
          <w:szCs w:val="20"/>
          <w:lang w:val="en-US"/>
        </w:rPr>
        <w:t>The meetings of the SG are open, ex officio, to the participation of staff members of the PACs and the NCPs. Upon invitation of the PACs, other countries, international organizations, existing cooperation mechanisms, regional initiatives, experts and other partners may participate as guests.</w:t>
      </w:r>
    </w:p>
    <w:p w:rsidR="00723570" w:rsidRPr="00723570" w:rsidRDefault="0067013E" w:rsidP="00723570">
      <w:pPr>
        <w:pStyle w:val="Listenabsatz1"/>
        <w:numPr>
          <w:ilvl w:val="1"/>
          <w:numId w:val="7"/>
        </w:numPr>
        <w:spacing w:after="360"/>
        <w:ind w:left="714" w:hanging="357"/>
        <w:jc w:val="both"/>
        <w:rPr>
          <w:rFonts w:ascii="Verdana" w:hAnsi="Verdana" w:cs="Arial"/>
          <w:sz w:val="20"/>
          <w:szCs w:val="20"/>
          <w:lang w:val="en-US"/>
        </w:rPr>
      </w:pPr>
      <w:r>
        <w:rPr>
          <w:rFonts w:ascii="Verdana" w:hAnsi="Verdana" w:cs="Arial"/>
          <w:sz w:val="20"/>
          <w:szCs w:val="20"/>
          <w:lang w:val="en-US"/>
        </w:rPr>
        <w:t>SG members are allowed to send substitutes to the meetings upon prior notification of the PACs in writing and in due time.</w:t>
      </w:r>
    </w:p>
    <w:p w:rsidR="0067013E" w:rsidRDefault="0067013E" w:rsidP="00FC5A05">
      <w:pPr>
        <w:pStyle w:val="berschrift2"/>
      </w:pPr>
      <w:r>
        <w:t>Profile, Objectives and Tasks of the Steering Group</w:t>
      </w:r>
    </w:p>
    <w:p w:rsidR="0067013E" w:rsidRDefault="0067013E">
      <w:pPr>
        <w:pStyle w:val="Listenabsatz1"/>
        <w:numPr>
          <w:ilvl w:val="1"/>
          <w:numId w:val="6"/>
        </w:numPr>
        <w:spacing w:after="360"/>
        <w:jc w:val="both"/>
        <w:rPr>
          <w:rFonts w:ascii="Verdana" w:hAnsi="Verdana" w:cs="Arial"/>
          <w:sz w:val="20"/>
          <w:szCs w:val="20"/>
          <w:lang w:val="en-US"/>
        </w:rPr>
      </w:pPr>
      <w:r>
        <w:rPr>
          <w:rFonts w:ascii="Verdana" w:hAnsi="Verdana" w:cs="Arial"/>
          <w:sz w:val="20"/>
          <w:szCs w:val="20"/>
          <w:lang w:val="en-US"/>
        </w:rPr>
        <w:t xml:space="preserve">The SG of the Priority Area “To Invest in People and Skills” of the EUSDR takes action and is the executive body of this Priority Area. It also makes decisions regarding the future development of the area, its objectives, co-operations and guidelines. </w:t>
      </w:r>
    </w:p>
    <w:p w:rsidR="0067013E" w:rsidRDefault="0067013E">
      <w:pPr>
        <w:pStyle w:val="Listenabsatz1"/>
        <w:numPr>
          <w:ilvl w:val="1"/>
          <w:numId w:val="6"/>
        </w:numPr>
        <w:spacing w:after="360"/>
        <w:jc w:val="both"/>
        <w:rPr>
          <w:rFonts w:ascii="Verdana" w:hAnsi="Verdana" w:cs="Arial"/>
          <w:sz w:val="20"/>
          <w:szCs w:val="20"/>
          <w:lang w:val="en-US"/>
        </w:rPr>
      </w:pPr>
      <w:r>
        <w:rPr>
          <w:rFonts w:ascii="Verdana" w:hAnsi="Verdana" w:cs="Arial"/>
          <w:sz w:val="20"/>
          <w:szCs w:val="20"/>
          <w:lang w:val="en-US"/>
        </w:rPr>
        <w:t xml:space="preserve">The SG is chaired by the Priority Area Coordinators (PACs). </w:t>
      </w:r>
    </w:p>
    <w:p w:rsidR="0067013E" w:rsidRDefault="0067013E">
      <w:pPr>
        <w:pStyle w:val="Listenabsatz1"/>
        <w:numPr>
          <w:ilvl w:val="1"/>
          <w:numId w:val="6"/>
        </w:numPr>
        <w:spacing w:after="360"/>
        <w:jc w:val="both"/>
        <w:rPr>
          <w:rFonts w:ascii="Verdana" w:hAnsi="Verdana" w:cs="Arial"/>
          <w:sz w:val="20"/>
          <w:szCs w:val="20"/>
          <w:lang w:val="en-US"/>
        </w:rPr>
      </w:pPr>
      <w:r>
        <w:rPr>
          <w:rFonts w:ascii="Verdana" w:hAnsi="Verdana" w:cs="Arial"/>
          <w:sz w:val="20"/>
          <w:szCs w:val="20"/>
          <w:lang w:val="en-US"/>
        </w:rPr>
        <w:t>The SG is responsible for the co-ordination and labeling of projects in line with the EUSDR, but not for their operational administration or organization.</w:t>
      </w:r>
    </w:p>
    <w:p w:rsidR="0067013E" w:rsidRDefault="0067013E">
      <w:pPr>
        <w:pStyle w:val="Listenabsatz1"/>
        <w:numPr>
          <w:ilvl w:val="1"/>
          <w:numId w:val="6"/>
        </w:numPr>
        <w:spacing w:after="360"/>
        <w:jc w:val="both"/>
        <w:rPr>
          <w:rFonts w:ascii="Verdana" w:hAnsi="Verdana" w:cs="Arial"/>
          <w:sz w:val="20"/>
          <w:szCs w:val="20"/>
          <w:lang w:val="en-US"/>
        </w:rPr>
      </w:pPr>
      <w:r>
        <w:rPr>
          <w:rFonts w:ascii="Verdana" w:hAnsi="Verdana" w:cs="Arial"/>
          <w:sz w:val="20"/>
          <w:szCs w:val="20"/>
          <w:lang w:val="en-US"/>
        </w:rPr>
        <w:t>Already existing and well-established platforms should be utilized in order to identify synergies with the EUSDR.</w:t>
      </w:r>
    </w:p>
    <w:p w:rsidR="0067013E" w:rsidRDefault="0067013E">
      <w:pPr>
        <w:pStyle w:val="Listenabsatz1"/>
        <w:numPr>
          <w:ilvl w:val="1"/>
          <w:numId w:val="6"/>
        </w:numPr>
        <w:spacing w:after="360"/>
        <w:jc w:val="both"/>
        <w:rPr>
          <w:rFonts w:ascii="Verdana" w:hAnsi="Verdana" w:cs="Arial"/>
          <w:sz w:val="20"/>
          <w:szCs w:val="20"/>
          <w:lang w:val="en-US"/>
        </w:rPr>
      </w:pPr>
      <w:r>
        <w:rPr>
          <w:rFonts w:ascii="Verdana" w:hAnsi="Verdana" w:cs="Arial"/>
          <w:sz w:val="20"/>
          <w:szCs w:val="20"/>
          <w:lang w:val="en-US"/>
        </w:rPr>
        <w:t>The SG discusses the Action Plan adopted by the Commission and may propose adjustments of the following three types to the European Commission:</w:t>
      </w:r>
    </w:p>
    <w:p w:rsidR="0067013E" w:rsidRDefault="0067013E" w:rsidP="004F3A9F">
      <w:pPr>
        <w:pStyle w:val="Listenabsatz1"/>
        <w:numPr>
          <w:ilvl w:val="0"/>
          <w:numId w:val="3"/>
        </w:numPr>
        <w:spacing w:after="120"/>
        <w:ind w:left="1066" w:hanging="357"/>
        <w:jc w:val="both"/>
        <w:rPr>
          <w:rFonts w:ascii="Verdana" w:hAnsi="Verdana" w:cs="Arial"/>
          <w:sz w:val="20"/>
          <w:szCs w:val="20"/>
          <w:lang w:val="en-US"/>
        </w:rPr>
      </w:pPr>
      <w:r>
        <w:rPr>
          <w:rFonts w:ascii="Verdana" w:hAnsi="Verdana" w:cs="Arial"/>
          <w:sz w:val="20"/>
          <w:szCs w:val="20"/>
          <w:lang w:val="en-US"/>
        </w:rPr>
        <w:t xml:space="preserve">Clarification/correction of the details of a project </w:t>
      </w:r>
    </w:p>
    <w:p w:rsidR="0067013E" w:rsidRDefault="0067013E" w:rsidP="004F3A9F">
      <w:pPr>
        <w:pStyle w:val="Listenabsatz1"/>
        <w:numPr>
          <w:ilvl w:val="0"/>
          <w:numId w:val="3"/>
        </w:numPr>
        <w:spacing w:after="120"/>
        <w:ind w:left="1066" w:hanging="357"/>
        <w:jc w:val="both"/>
        <w:rPr>
          <w:rFonts w:ascii="Verdana" w:hAnsi="Verdana" w:cs="Arial"/>
          <w:sz w:val="20"/>
          <w:szCs w:val="20"/>
          <w:lang w:val="en-US"/>
        </w:rPr>
      </w:pPr>
      <w:r>
        <w:rPr>
          <w:rFonts w:ascii="Verdana" w:hAnsi="Verdana" w:cs="Arial"/>
          <w:sz w:val="20"/>
          <w:szCs w:val="20"/>
          <w:lang w:val="en-US"/>
        </w:rPr>
        <w:t>Addition of a new action or project</w:t>
      </w:r>
    </w:p>
    <w:p w:rsidR="0067013E" w:rsidRDefault="0067013E" w:rsidP="008D1D7C">
      <w:pPr>
        <w:pStyle w:val="Listenabsatz1"/>
        <w:numPr>
          <w:ilvl w:val="0"/>
          <w:numId w:val="3"/>
        </w:numPr>
        <w:spacing w:after="360"/>
        <w:ind w:left="1066" w:hanging="357"/>
        <w:jc w:val="both"/>
        <w:rPr>
          <w:rFonts w:ascii="Verdana" w:hAnsi="Verdana" w:cs="Arial"/>
          <w:sz w:val="20"/>
          <w:szCs w:val="20"/>
          <w:lang w:val="en-US"/>
        </w:rPr>
      </w:pPr>
      <w:r>
        <w:rPr>
          <w:rFonts w:ascii="Verdana" w:hAnsi="Verdana" w:cs="Arial"/>
          <w:sz w:val="20"/>
          <w:szCs w:val="20"/>
          <w:lang w:val="en-US"/>
        </w:rPr>
        <w:lastRenderedPageBreak/>
        <w:t>Deletion of an action or a project</w:t>
      </w:r>
    </w:p>
    <w:p w:rsidR="0067013E" w:rsidRDefault="0067013E" w:rsidP="008D1D7C">
      <w:pPr>
        <w:pStyle w:val="Listenabsatz1"/>
        <w:numPr>
          <w:ilvl w:val="1"/>
          <w:numId w:val="6"/>
        </w:numPr>
        <w:spacing w:after="360"/>
        <w:ind w:left="714" w:hanging="357"/>
        <w:jc w:val="both"/>
        <w:rPr>
          <w:rFonts w:ascii="Verdana" w:hAnsi="Verdana" w:cs="Arial"/>
          <w:sz w:val="20"/>
          <w:szCs w:val="20"/>
          <w:lang w:val="en-US"/>
        </w:rPr>
      </w:pPr>
      <w:r>
        <w:rPr>
          <w:rFonts w:ascii="Verdana" w:hAnsi="Verdana" w:cs="Arial"/>
          <w:sz w:val="20"/>
          <w:szCs w:val="20"/>
          <w:lang w:val="en-US"/>
        </w:rPr>
        <w:t xml:space="preserve">SG members commit themselves to proactive co-operation with the PACs. </w:t>
      </w:r>
    </w:p>
    <w:p w:rsidR="0067013E" w:rsidRDefault="0067013E">
      <w:pPr>
        <w:pStyle w:val="Listenabsatz1"/>
        <w:numPr>
          <w:ilvl w:val="1"/>
          <w:numId w:val="6"/>
        </w:numPr>
        <w:spacing w:after="360"/>
        <w:jc w:val="both"/>
        <w:rPr>
          <w:rFonts w:ascii="Verdana" w:hAnsi="Verdana" w:cs="Arial"/>
          <w:sz w:val="20"/>
          <w:szCs w:val="20"/>
          <w:lang w:val="en-US"/>
        </w:rPr>
      </w:pPr>
      <w:r>
        <w:rPr>
          <w:rFonts w:ascii="Verdana" w:hAnsi="Verdana" w:cs="Arial"/>
          <w:sz w:val="20"/>
          <w:szCs w:val="20"/>
          <w:lang w:val="en-US"/>
        </w:rPr>
        <w:t>The SG facilitates the work of the PACs regarding the implementation and the development of the PA, in particular with regard to</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Establishing a network of national counterparts</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Identifying possible relevant stakeholders, with particular emphasis on Project Leaders</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Promoting public awareness</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Promoting the cross-</w:t>
      </w:r>
      <w:proofErr w:type="spellStart"/>
      <w:r>
        <w:rPr>
          <w:rFonts w:ascii="Verdana" w:hAnsi="Verdana" w:cs="Arial"/>
          <w:sz w:val="20"/>
          <w:szCs w:val="20"/>
          <w:lang w:val="en-US"/>
        </w:rPr>
        <w:t>sectoral</w:t>
      </w:r>
      <w:proofErr w:type="spellEnd"/>
      <w:r>
        <w:rPr>
          <w:rFonts w:ascii="Verdana" w:hAnsi="Verdana" w:cs="Arial"/>
          <w:sz w:val="20"/>
          <w:szCs w:val="20"/>
          <w:lang w:val="en-US"/>
        </w:rPr>
        <w:t xml:space="preserve"> approach of the Strategy</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Setting up an operational working structure</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Compiling a list of on-going projects and possible project-ideas</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Agreeing on realistic and feasible objectives and actions</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Providing assistance to Lead Partners</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Ensuring policy discussion and policy development</w:t>
      </w:r>
    </w:p>
    <w:p w:rsidR="0067013E" w:rsidRDefault="0067013E" w:rsidP="004F3A9F">
      <w:pPr>
        <w:pStyle w:val="Listenabsatz1"/>
        <w:numPr>
          <w:ilvl w:val="0"/>
          <w:numId w:val="2"/>
        </w:numPr>
        <w:spacing w:after="120"/>
        <w:ind w:left="1423" w:hanging="357"/>
        <w:jc w:val="both"/>
        <w:rPr>
          <w:rFonts w:ascii="Verdana" w:hAnsi="Verdana" w:cs="Arial"/>
          <w:sz w:val="20"/>
          <w:szCs w:val="20"/>
          <w:lang w:val="en-US"/>
        </w:rPr>
      </w:pPr>
      <w:r>
        <w:rPr>
          <w:rFonts w:ascii="Verdana" w:hAnsi="Verdana" w:cs="Arial"/>
          <w:sz w:val="20"/>
          <w:szCs w:val="20"/>
          <w:lang w:val="en-US"/>
        </w:rPr>
        <w:t>Ensuring communication and visibility of results</w:t>
      </w:r>
    </w:p>
    <w:p w:rsidR="0067013E" w:rsidRDefault="0067013E" w:rsidP="00723570">
      <w:pPr>
        <w:pStyle w:val="Listenabsatz1"/>
        <w:numPr>
          <w:ilvl w:val="0"/>
          <w:numId w:val="2"/>
        </w:numPr>
        <w:spacing w:after="360"/>
        <w:ind w:left="1423" w:hanging="357"/>
        <w:jc w:val="both"/>
        <w:rPr>
          <w:rFonts w:ascii="Verdana" w:hAnsi="Verdana" w:cs="Arial"/>
          <w:sz w:val="20"/>
          <w:szCs w:val="20"/>
          <w:lang w:val="en-US"/>
        </w:rPr>
      </w:pPr>
      <w:r>
        <w:rPr>
          <w:rFonts w:ascii="Verdana" w:hAnsi="Verdana" w:cs="Arial"/>
          <w:sz w:val="20"/>
          <w:szCs w:val="20"/>
          <w:lang w:val="en-US"/>
        </w:rPr>
        <w:t>Monitoring and report to the Commission on progress</w:t>
      </w:r>
    </w:p>
    <w:p w:rsidR="0067013E" w:rsidRDefault="0067013E" w:rsidP="00FC5A05">
      <w:pPr>
        <w:pStyle w:val="berschrift2"/>
      </w:pPr>
      <w:r>
        <w:t>Role of the Priority Area Coordinators (PACs)</w:t>
      </w:r>
    </w:p>
    <w:p w:rsidR="0067013E" w:rsidRDefault="0067013E">
      <w:pPr>
        <w:pStyle w:val="Listenabsatz1"/>
        <w:numPr>
          <w:ilvl w:val="1"/>
          <w:numId w:val="10"/>
        </w:numPr>
        <w:spacing w:after="360"/>
        <w:jc w:val="both"/>
        <w:rPr>
          <w:rFonts w:ascii="Verdana" w:hAnsi="Verdana" w:cs="Arial"/>
          <w:sz w:val="20"/>
          <w:szCs w:val="20"/>
          <w:lang w:val="en-US"/>
        </w:rPr>
      </w:pPr>
      <w:r>
        <w:rPr>
          <w:rFonts w:ascii="Verdana" w:hAnsi="Verdana" w:cs="Arial"/>
          <w:sz w:val="20"/>
          <w:szCs w:val="20"/>
          <w:lang w:val="en-US"/>
        </w:rPr>
        <w:t>The Republics of Austria and Moldova chair the PA 9 together as partners in a sense of close co-operation and partnership.</w:t>
      </w:r>
    </w:p>
    <w:p w:rsidR="0067013E" w:rsidRDefault="0067013E">
      <w:pPr>
        <w:pStyle w:val="Listenabsatz1"/>
        <w:numPr>
          <w:ilvl w:val="1"/>
          <w:numId w:val="10"/>
        </w:numPr>
        <w:spacing w:after="360"/>
        <w:jc w:val="both"/>
        <w:rPr>
          <w:rFonts w:ascii="Verdana" w:hAnsi="Verdana" w:cs="Arial"/>
          <w:sz w:val="20"/>
          <w:szCs w:val="20"/>
          <w:lang w:val="en-US"/>
        </w:rPr>
      </w:pPr>
      <w:r>
        <w:rPr>
          <w:rFonts w:ascii="Verdana" w:hAnsi="Verdana" w:cs="Arial"/>
          <w:sz w:val="20"/>
          <w:szCs w:val="20"/>
          <w:lang w:val="en-US"/>
        </w:rPr>
        <w:t>The PACs are leading members of the SG and responsible for the co-ordination of the EUSDR and proactively contribute to its implementation in close co-operation with the European Commission, the National Contact Points</w:t>
      </w:r>
      <w:r w:rsidR="0077324A">
        <w:rPr>
          <w:rFonts w:ascii="Verdana" w:hAnsi="Verdana" w:cs="Arial"/>
          <w:sz w:val="20"/>
          <w:szCs w:val="20"/>
          <w:lang w:val="en-US"/>
        </w:rPr>
        <w:t xml:space="preserve"> a</w:t>
      </w:r>
      <w:r>
        <w:rPr>
          <w:rFonts w:ascii="Verdana" w:hAnsi="Verdana" w:cs="Arial"/>
          <w:sz w:val="20"/>
          <w:szCs w:val="20"/>
          <w:lang w:val="en-US"/>
        </w:rPr>
        <w:t>nd other relevant PACs. The implementation process involves all the stakeholders of the participating countries, regional and local authorities as well as inter-governmental and non-governmental bodies. The PACs’ work is trans-national, inter-</w:t>
      </w:r>
      <w:proofErr w:type="spellStart"/>
      <w:r>
        <w:rPr>
          <w:rFonts w:ascii="Verdana" w:hAnsi="Verdana" w:cs="Arial"/>
          <w:sz w:val="20"/>
          <w:szCs w:val="20"/>
          <w:lang w:val="en-US"/>
        </w:rPr>
        <w:t>sectoral</w:t>
      </w:r>
      <w:proofErr w:type="spellEnd"/>
      <w:r>
        <w:rPr>
          <w:rFonts w:ascii="Verdana" w:hAnsi="Verdana" w:cs="Arial"/>
          <w:sz w:val="20"/>
          <w:szCs w:val="20"/>
          <w:lang w:val="en-US"/>
        </w:rPr>
        <w:t xml:space="preserve"> and inter-institutional.</w:t>
      </w:r>
    </w:p>
    <w:p w:rsidR="0067013E" w:rsidRDefault="0067013E">
      <w:pPr>
        <w:pStyle w:val="Listenabsatz1"/>
        <w:numPr>
          <w:ilvl w:val="1"/>
          <w:numId w:val="10"/>
        </w:numPr>
        <w:spacing w:after="360"/>
        <w:jc w:val="both"/>
        <w:rPr>
          <w:rFonts w:ascii="Verdana" w:hAnsi="Verdana"/>
          <w:sz w:val="20"/>
          <w:szCs w:val="20"/>
          <w:lang w:val="en-US"/>
        </w:rPr>
      </w:pPr>
      <w:r>
        <w:rPr>
          <w:rFonts w:ascii="Verdana" w:hAnsi="Verdana" w:cs="Arial"/>
          <w:sz w:val="20"/>
          <w:szCs w:val="20"/>
          <w:lang w:val="en-US"/>
        </w:rPr>
        <w:t>PACs have the possibility to organize networking events</w:t>
      </w:r>
      <w:r>
        <w:rPr>
          <w:rFonts w:ascii="Verdana" w:hAnsi="Verdana"/>
          <w:sz w:val="20"/>
          <w:szCs w:val="20"/>
          <w:lang w:val="en-US"/>
        </w:rPr>
        <w:t xml:space="preserve"> involving relevant stakeholders, the Civil Society and experts.</w:t>
      </w:r>
    </w:p>
    <w:p w:rsidR="0067013E" w:rsidRDefault="0067013E">
      <w:pPr>
        <w:pStyle w:val="Listenabsatz1"/>
        <w:numPr>
          <w:ilvl w:val="1"/>
          <w:numId w:val="10"/>
        </w:numPr>
        <w:spacing w:after="360"/>
        <w:jc w:val="both"/>
        <w:rPr>
          <w:rFonts w:ascii="Verdana" w:hAnsi="Verdana"/>
          <w:sz w:val="20"/>
          <w:szCs w:val="20"/>
          <w:lang w:val="en-US"/>
        </w:rPr>
      </w:pPr>
      <w:r>
        <w:rPr>
          <w:rFonts w:ascii="Verdana" w:hAnsi="Verdana"/>
          <w:sz w:val="20"/>
          <w:szCs w:val="20"/>
          <w:lang w:val="en-US"/>
        </w:rPr>
        <w:t>PACs have the right to initiate decisions upon the creation of ad hoc groups and permanent working groups.</w:t>
      </w:r>
    </w:p>
    <w:p w:rsidR="0067013E" w:rsidRPr="008D1D7C" w:rsidRDefault="0067013E" w:rsidP="00FC5A05">
      <w:pPr>
        <w:pStyle w:val="berschrift2"/>
      </w:pPr>
      <w:r w:rsidRPr="008D1D7C">
        <w:lastRenderedPageBreak/>
        <w:t>Meeting Format and Decision Making</w:t>
      </w:r>
    </w:p>
    <w:p w:rsidR="0067013E" w:rsidRDefault="0067013E">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The SG meets at least twice a year. PACs are in charge of convening the meetings of the SG.</w:t>
      </w:r>
    </w:p>
    <w:p w:rsidR="0067013E" w:rsidRDefault="0067013E">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 xml:space="preserve">Electronic exchange and web-based co-ordination shall play a crucial role within the PACs’ and the SG’s communication. </w:t>
      </w:r>
    </w:p>
    <w:p w:rsidR="0067013E" w:rsidRDefault="0067013E">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 xml:space="preserve">Decisions that the SG is entitled by the </w:t>
      </w:r>
      <w:r w:rsidR="0077324A">
        <w:rPr>
          <w:rFonts w:ascii="Verdana" w:hAnsi="Verdana" w:cs="Arial"/>
          <w:sz w:val="20"/>
          <w:szCs w:val="20"/>
          <w:lang w:val="en-US"/>
        </w:rPr>
        <w:t>EUSDR</w:t>
      </w:r>
      <w:r>
        <w:rPr>
          <w:rFonts w:ascii="Verdana" w:hAnsi="Verdana" w:cs="Arial"/>
          <w:sz w:val="20"/>
          <w:szCs w:val="20"/>
          <w:lang w:val="en-US"/>
        </w:rPr>
        <w:t xml:space="preserve"> to make will be taken by consensus, which is understood as absence of objection.</w:t>
      </w:r>
    </w:p>
    <w:p w:rsidR="0067013E" w:rsidRDefault="0067013E">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Decisions can be made when at least the half of the participating countries attend the SG meeting.</w:t>
      </w:r>
    </w:p>
    <w:p w:rsidR="0067013E" w:rsidRDefault="0067013E" w:rsidP="008D1D7C">
      <w:pPr>
        <w:pStyle w:val="Listenabsatz1"/>
        <w:numPr>
          <w:ilvl w:val="1"/>
          <w:numId w:val="5"/>
        </w:numPr>
        <w:spacing w:after="360"/>
        <w:ind w:left="714" w:hanging="357"/>
        <w:jc w:val="both"/>
        <w:rPr>
          <w:rFonts w:ascii="Verdana" w:hAnsi="Verdana" w:cs="Arial"/>
          <w:sz w:val="20"/>
          <w:szCs w:val="20"/>
          <w:lang w:val="en-US"/>
        </w:rPr>
      </w:pPr>
      <w:r>
        <w:rPr>
          <w:rFonts w:ascii="Verdana" w:hAnsi="Verdana" w:cs="Arial"/>
          <w:sz w:val="20"/>
          <w:szCs w:val="20"/>
          <w:lang w:val="en-US"/>
        </w:rPr>
        <w:t>Each participating state has one vote per decision.</w:t>
      </w:r>
    </w:p>
    <w:p w:rsidR="0067013E" w:rsidRDefault="0067013E" w:rsidP="008D1D7C">
      <w:pPr>
        <w:pStyle w:val="Listenabsatz1"/>
        <w:numPr>
          <w:ilvl w:val="1"/>
          <w:numId w:val="5"/>
        </w:numPr>
        <w:spacing w:before="120" w:after="360" w:line="100" w:lineRule="atLeast"/>
        <w:ind w:left="714" w:hanging="357"/>
        <w:jc w:val="both"/>
        <w:rPr>
          <w:rFonts w:ascii="Verdana" w:hAnsi="Verdana" w:cs="Arial"/>
          <w:sz w:val="20"/>
          <w:szCs w:val="20"/>
          <w:lang w:val="en-US"/>
        </w:rPr>
      </w:pPr>
      <w:r>
        <w:rPr>
          <w:rFonts w:ascii="Verdana" w:hAnsi="Verdana" w:cs="Arial"/>
          <w:sz w:val="20"/>
          <w:szCs w:val="20"/>
          <w:lang w:val="en-US"/>
        </w:rPr>
        <w:t>In case the consensus is not reached, the Chairperson shall give a 30 minutes recess for consultations in order for the present members to reconsider their position; it is considered impossible to reach consensus if, after two rounds of discussions on one certain issue, a consensual decision cannot be reached.</w:t>
      </w:r>
    </w:p>
    <w:p w:rsidR="0067013E" w:rsidRDefault="0067013E" w:rsidP="008D1D7C">
      <w:pPr>
        <w:pStyle w:val="Listenabsatz1"/>
        <w:numPr>
          <w:ilvl w:val="1"/>
          <w:numId w:val="5"/>
        </w:numPr>
        <w:spacing w:after="360"/>
        <w:ind w:left="714" w:hanging="357"/>
        <w:jc w:val="both"/>
        <w:rPr>
          <w:rFonts w:ascii="Verdana" w:hAnsi="Verdana" w:cs="Arial"/>
          <w:sz w:val="20"/>
          <w:szCs w:val="20"/>
          <w:lang w:val="en-US"/>
        </w:rPr>
      </w:pPr>
      <w:r>
        <w:rPr>
          <w:rFonts w:ascii="Verdana" w:hAnsi="Verdana" w:cs="Arial"/>
          <w:sz w:val="20"/>
          <w:szCs w:val="20"/>
          <w:lang w:val="en-US"/>
        </w:rPr>
        <w:t xml:space="preserve">In case of opposition by several members, the Chairperson decides whether the decision is postponed or defeated.  However, if consensus cannot be reached due to one single opposing position, the SG may decide, at the initiative of the Chairperson, by unanimity minus one, meaning, all members but one support the decision. </w:t>
      </w:r>
    </w:p>
    <w:p w:rsidR="0067013E" w:rsidRDefault="0067013E">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In addition to the decision making at the SG’s meetings, the SG uses electronic agreement through silence procedure (simplified written procedure). Answers should be given within fourteen days, in exceptional cases within seven days.</w:t>
      </w:r>
    </w:p>
    <w:p w:rsidR="0026315B" w:rsidRDefault="007636A0" w:rsidP="002B5A56">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 xml:space="preserve">For decisions on </w:t>
      </w:r>
      <w:r w:rsidR="00FC2A7C">
        <w:rPr>
          <w:rFonts w:ascii="Verdana" w:hAnsi="Verdana" w:cs="Arial"/>
          <w:sz w:val="20"/>
          <w:szCs w:val="20"/>
          <w:lang w:val="en-US"/>
        </w:rPr>
        <w:t xml:space="preserve"> </w:t>
      </w:r>
      <w:r w:rsidR="00E21199">
        <w:rPr>
          <w:rFonts w:ascii="Verdana" w:hAnsi="Verdana" w:cs="Arial"/>
          <w:sz w:val="20"/>
          <w:szCs w:val="20"/>
          <w:lang w:val="en-US"/>
        </w:rPr>
        <w:t xml:space="preserve">labeling of or issuing </w:t>
      </w:r>
      <w:r w:rsidR="00860CF2">
        <w:rPr>
          <w:rFonts w:ascii="Verdana" w:hAnsi="Verdana" w:cs="Arial"/>
          <w:sz w:val="20"/>
          <w:szCs w:val="20"/>
          <w:lang w:val="en-US"/>
        </w:rPr>
        <w:t xml:space="preserve">a </w:t>
      </w:r>
      <w:r w:rsidR="001234DB">
        <w:rPr>
          <w:rFonts w:ascii="Verdana" w:hAnsi="Verdana" w:cs="Arial"/>
          <w:sz w:val="20"/>
          <w:szCs w:val="20"/>
          <w:lang w:val="en-US"/>
        </w:rPr>
        <w:t xml:space="preserve">letter of recommendation for </w:t>
      </w:r>
      <w:r w:rsidR="00860CF2">
        <w:rPr>
          <w:rFonts w:ascii="Verdana" w:hAnsi="Verdana" w:cs="Arial"/>
          <w:sz w:val="20"/>
          <w:szCs w:val="20"/>
          <w:lang w:val="en-US"/>
        </w:rPr>
        <w:t xml:space="preserve">a </w:t>
      </w:r>
      <w:r w:rsidR="001234DB">
        <w:rPr>
          <w:rFonts w:ascii="Verdana" w:hAnsi="Verdana" w:cs="Arial"/>
          <w:sz w:val="20"/>
          <w:szCs w:val="20"/>
          <w:lang w:val="en-US"/>
        </w:rPr>
        <w:t xml:space="preserve">project or </w:t>
      </w:r>
      <w:r w:rsidR="00E21199">
        <w:rPr>
          <w:rFonts w:ascii="Verdana" w:hAnsi="Verdana" w:cs="Arial"/>
          <w:sz w:val="20"/>
          <w:szCs w:val="20"/>
          <w:lang w:val="en-US"/>
        </w:rPr>
        <w:t xml:space="preserve">an </w:t>
      </w:r>
      <w:r w:rsidR="001234DB">
        <w:rPr>
          <w:rFonts w:ascii="Verdana" w:hAnsi="Verdana" w:cs="Arial"/>
          <w:sz w:val="20"/>
          <w:szCs w:val="20"/>
          <w:lang w:val="en-US"/>
        </w:rPr>
        <w:t xml:space="preserve">initiative, </w:t>
      </w:r>
      <w:r w:rsidR="00E21199">
        <w:rPr>
          <w:rFonts w:ascii="Verdana" w:hAnsi="Verdana" w:cs="Arial"/>
          <w:sz w:val="20"/>
          <w:szCs w:val="20"/>
          <w:lang w:val="en-US"/>
        </w:rPr>
        <w:t>only comments that explicitly that relate to a potential</w:t>
      </w:r>
      <w:r>
        <w:rPr>
          <w:rFonts w:ascii="Verdana" w:hAnsi="Verdana" w:cs="Arial"/>
          <w:sz w:val="20"/>
          <w:szCs w:val="20"/>
          <w:lang w:val="en-US"/>
        </w:rPr>
        <w:t xml:space="preserve"> non-</w:t>
      </w:r>
      <w:r w:rsidR="00E21199">
        <w:rPr>
          <w:rFonts w:ascii="Verdana" w:hAnsi="Verdana" w:cs="Arial"/>
          <w:sz w:val="20"/>
          <w:szCs w:val="20"/>
          <w:lang w:val="en-US"/>
        </w:rPr>
        <w:t xml:space="preserve">compliance with the agreed and valid project criteria will be treated as an objection. Any other </w:t>
      </w:r>
      <w:r w:rsidR="00FC2A7C">
        <w:rPr>
          <w:rFonts w:ascii="Verdana" w:hAnsi="Verdana" w:cs="Arial"/>
          <w:sz w:val="20"/>
          <w:szCs w:val="20"/>
          <w:lang w:val="en-US"/>
        </w:rPr>
        <w:t xml:space="preserve">comments will be considered </w:t>
      </w:r>
      <w:r w:rsidR="00331818">
        <w:rPr>
          <w:rFonts w:ascii="Verdana" w:hAnsi="Verdana" w:cs="Arial"/>
          <w:sz w:val="20"/>
          <w:szCs w:val="20"/>
          <w:lang w:val="en-US"/>
        </w:rPr>
        <w:t xml:space="preserve">as </w:t>
      </w:r>
      <w:r w:rsidR="00E21199">
        <w:rPr>
          <w:rFonts w:ascii="Verdana" w:hAnsi="Verdana" w:cs="Arial"/>
          <w:sz w:val="20"/>
          <w:szCs w:val="20"/>
          <w:lang w:val="en-US"/>
        </w:rPr>
        <w:t>recommendations to the project partners.</w:t>
      </w:r>
    </w:p>
    <w:p w:rsidR="0067013E" w:rsidRDefault="0067013E">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At each of the</w:t>
      </w:r>
      <w:r w:rsidR="002B5A56">
        <w:rPr>
          <w:rFonts w:ascii="Verdana" w:hAnsi="Verdana" w:cs="Arial"/>
          <w:sz w:val="20"/>
          <w:szCs w:val="20"/>
          <w:lang w:val="en-US"/>
        </w:rPr>
        <w:t xml:space="preserve"> </w:t>
      </w:r>
      <w:r>
        <w:rPr>
          <w:rFonts w:ascii="Verdana" w:hAnsi="Verdana" w:cs="Arial"/>
          <w:sz w:val="20"/>
          <w:szCs w:val="20"/>
          <w:lang w:val="en-US"/>
        </w:rPr>
        <w:t>meetings, the PACs provide a draft agenda, write meeting minutes and distribute it among the SG members.</w:t>
      </w:r>
    </w:p>
    <w:p w:rsidR="0067013E" w:rsidRPr="0067013E" w:rsidRDefault="0067013E" w:rsidP="0067013E">
      <w:pPr>
        <w:pStyle w:val="Listenabsatz1"/>
        <w:numPr>
          <w:ilvl w:val="1"/>
          <w:numId w:val="5"/>
        </w:numPr>
        <w:spacing w:after="360"/>
        <w:jc w:val="both"/>
        <w:rPr>
          <w:rFonts w:ascii="Verdana" w:hAnsi="Verdana" w:cs="Arial"/>
          <w:sz w:val="20"/>
          <w:szCs w:val="20"/>
          <w:lang w:val="en-US"/>
        </w:rPr>
      </w:pPr>
      <w:r>
        <w:rPr>
          <w:rFonts w:ascii="Verdana" w:hAnsi="Verdana" w:cs="Arial"/>
          <w:sz w:val="20"/>
          <w:szCs w:val="20"/>
          <w:lang w:val="en-US"/>
        </w:rPr>
        <w:t>Aiming at assuring an efficient and rapid communication among the Partners of the SG, English is adopted as working language.</w:t>
      </w:r>
    </w:p>
    <w:sectPr w:rsidR="0067013E" w:rsidRPr="0067013E" w:rsidSect="00D259F0">
      <w:headerReference w:type="default" r:id="rId8"/>
      <w:pgSz w:w="11906" w:h="16838"/>
      <w:pgMar w:top="1417" w:right="1417" w:bottom="1134" w:left="1417" w:header="708" w:footer="720"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199" w:rsidRDefault="00E21199" w:rsidP="0067013E">
      <w:pPr>
        <w:spacing w:after="0" w:line="240" w:lineRule="auto"/>
      </w:pPr>
      <w:r>
        <w:separator/>
      </w:r>
    </w:p>
  </w:endnote>
  <w:endnote w:type="continuationSeparator" w:id="0">
    <w:p w:rsidR="00E21199" w:rsidRDefault="00E21199" w:rsidP="006701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199" w:rsidRDefault="00E21199" w:rsidP="0067013E">
      <w:pPr>
        <w:spacing w:after="0" w:line="240" w:lineRule="auto"/>
      </w:pPr>
      <w:r>
        <w:separator/>
      </w:r>
    </w:p>
  </w:footnote>
  <w:footnote w:type="continuationSeparator" w:id="0">
    <w:p w:rsidR="00E21199" w:rsidRDefault="00E21199" w:rsidP="006701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199" w:rsidRDefault="00E21199">
    <w:pPr>
      <w:pStyle w:val="Kopfzeile"/>
    </w:pPr>
    <w:r>
      <w:rPr>
        <w:noProof/>
        <w:lang w:val="de-AT" w:eastAsia="de-AT"/>
      </w:rPr>
      <w:drawing>
        <wp:inline distT="0" distB="0" distL="0" distR="0">
          <wp:extent cx="1485900" cy="60960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85900" cy="609600"/>
                  </a:xfrm>
                  <a:prstGeom prst="rect">
                    <a:avLst/>
                  </a:prstGeom>
                  <a:solidFill>
                    <a:srgbClr val="FFFFFF"/>
                  </a:solidFill>
                  <a:ln w="9525">
                    <a:noFill/>
                    <a:miter lim="800000"/>
                    <a:headEnd/>
                    <a:tailEnd/>
                  </a:ln>
                </pic:spPr>
              </pic:pic>
            </a:graphicData>
          </a:graphic>
        </wp:inline>
      </w:drawing>
    </w:r>
  </w:p>
  <w:p w:rsidR="00E21199" w:rsidRDefault="00E2119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
    <w:lvl w:ilvl="0">
      <w:start w:val="1"/>
      <w:numFmt w:val="bullet"/>
      <w:lvlText w:val=""/>
      <w:lvlJc w:val="left"/>
      <w:pPr>
        <w:tabs>
          <w:tab w:val="num" w:pos="0"/>
        </w:tabs>
        <w:ind w:left="1425" w:hanging="360"/>
      </w:pPr>
      <w:rPr>
        <w:rFonts w:ascii="Symbol" w:hAnsi="Symbol"/>
      </w:rPr>
    </w:lvl>
    <w:lvl w:ilvl="1">
      <w:start w:val="1"/>
      <w:numFmt w:val="bullet"/>
      <w:lvlText w:val="o"/>
      <w:lvlJc w:val="left"/>
      <w:pPr>
        <w:tabs>
          <w:tab w:val="num" w:pos="0"/>
        </w:tabs>
        <w:ind w:left="2145" w:hanging="360"/>
      </w:pPr>
      <w:rPr>
        <w:rFonts w:ascii="Courier New" w:hAnsi="Courier New" w:cs="Courier New"/>
      </w:rPr>
    </w:lvl>
    <w:lvl w:ilvl="2">
      <w:start w:val="1"/>
      <w:numFmt w:val="bullet"/>
      <w:lvlText w:val=""/>
      <w:lvlJc w:val="left"/>
      <w:pPr>
        <w:tabs>
          <w:tab w:val="num" w:pos="0"/>
        </w:tabs>
        <w:ind w:left="2865" w:hanging="360"/>
      </w:pPr>
      <w:rPr>
        <w:rFonts w:ascii="Wingdings" w:hAnsi="Wingdings"/>
      </w:rPr>
    </w:lvl>
    <w:lvl w:ilvl="3">
      <w:start w:val="1"/>
      <w:numFmt w:val="bullet"/>
      <w:lvlText w:val=""/>
      <w:lvlJc w:val="left"/>
      <w:pPr>
        <w:tabs>
          <w:tab w:val="num" w:pos="0"/>
        </w:tabs>
        <w:ind w:left="3585" w:hanging="360"/>
      </w:pPr>
      <w:rPr>
        <w:rFonts w:ascii="Symbol" w:hAnsi="Symbol"/>
      </w:rPr>
    </w:lvl>
    <w:lvl w:ilvl="4">
      <w:start w:val="1"/>
      <w:numFmt w:val="bullet"/>
      <w:lvlText w:val="o"/>
      <w:lvlJc w:val="left"/>
      <w:pPr>
        <w:tabs>
          <w:tab w:val="num" w:pos="0"/>
        </w:tabs>
        <w:ind w:left="4305" w:hanging="360"/>
      </w:pPr>
      <w:rPr>
        <w:rFonts w:ascii="Courier New" w:hAnsi="Courier New" w:cs="Courier New"/>
      </w:rPr>
    </w:lvl>
    <w:lvl w:ilvl="5">
      <w:start w:val="1"/>
      <w:numFmt w:val="bullet"/>
      <w:lvlText w:val=""/>
      <w:lvlJc w:val="left"/>
      <w:pPr>
        <w:tabs>
          <w:tab w:val="num" w:pos="0"/>
        </w:tabs>
        <w:ind w:left="5025" w:hanging="360"/>
      </w:pPr>
      <w:rPr>
        <w:rFonts w:ascii="Wingdings" w:hAnsi="Wingdings"/>
      </w:rPr>
    </w:lvl>
    <w:lvl w:ilvl="6">
      <w:start w:val="1"/>
      <w:numFmt w:val="bullet"/>
      <w:lvlText w:val=""/>
      <w:lvlJc w:val="left"/>
      <w:pPr>
        <w:tabs>
          <w:tab w:val="num" w:pos="0"/>
        </w:tabs>
        <w:ind w:left="5745" w:hanging="360"/>
      </w:pPr>
      <w:rPr>
        <w:rFonts w:ascii="Symbol" w:hAnsi="Symbol"/>
      </w:rPr>
    </w:lvl>
    <w:lvl w:ilvl="7">
      <w:start w:val="1"/>
      <w:numFmt w:val="bullet"/>
      <w:lvlText w:val="o"/>
      <w:lvlJc w:val="left"/>
      <w:pPr>
        <w:tabs>
          <w:tab w:val="num" w:pos="0"/>
        </w:tabs>
        <w:ind w:left="6465" w:hanging="360"/>
      </w:pPr>
      <w:rPr>
        <w:rFonts w:ascii="Courier New" w:hAnsi="Courier New" w:cs="Courier New"/>
      </w:rPr>
    </w:lvl>
    <w:lvl w:ilvl="8">
      <w:start w:val="1"/>
      <w:numFmt w:val="bullet"/>
      <w:lvlText w:val=""/>
      <w:lvlJc w:val="left"/>
      <w:pPr>
        <w:tabs>
          <w:tab w:val="num" w:pos="0"/>
        </w:tabs>
        <w:ind w:left="7185"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0"/>
        </w:tabs>
        <w:ind w:left="1068" w:hanging="360"/>
      </w:pPr>
      <w:rPr>
        <w:rFonts w:ascii="Symbol" w:hAnsi="Symbol"/>
      </w:rPr>
    </w:lvl>
    <w:lvl w:ilvl="1">
      <w:start w:val="1"/>
      <w:numFmt w:val="lowerLetter"/>
      <w:lvlText w:val="%2)"/>
      <w:lvlJc w:val="left"/>
      <w:pPr>
        <w:tabs>
          <w:tab w:val="num" w:pos="0"/>
        </w:tabs>
        <w:ind w:left="1428" w:hanging="360"/>
      </w:pPr>
    </w:lvl>
    <w:lvl w:ilvl="2">
      <w:start w:val="1"/>
      <w:numFmt w:val="lowerRoman"/>
      <w:lvlText w:val="%3)"/>
      <w:lvlJc w:val="left"/>
      <w:pPr>
        <w:tabs>
          <w:tab w:val="num" w:pos="0"/>
        </w:tabs>
        <w:ind w:left="1788" w:hanging="360"/>
      </w:pPr>
    </w:lvl>
    <w:lvl w:ilvl="3">
      <w:start w:val="1"/>
      <w:numFmt w:val="decimal"/>
      <w:lvlText w:val="(%4)"/>
      <w:lvlJc w:val="left"/>
      <w:pPr>
        <w:tabs>
          <w:tab w:val="num" w:pos="0"/>
        </w:tabs>
        <w:ind w:left="2148" w:hanging="360"/>
      </w:pPr>
    </w:lvl>
    <w:lvl w:ilvl="4">
      <w:start w:val="1"/>
      <w:numFmt w:val="lowerLetter"/>
      <w:lvlText w:val="(%5)"/>
      <w:lvlJc w:val="left"/>
      <w:pPr>
        <w:tabs>
          <w:tab w:val="num" w:pos="0"/>
        </w:tabs>
        <w:ind w:left="2508" w:hanging="360"/>
      </w:pPr>
    </w:lvl>
    <w:lvl w:ilvl="5">
      <w:start w:val="1"/>
      <w:numFmt w:val="lowerRoman"/>
      <w:lvlText w:val="(%6)"/>
      <w:lvlJc w:val="left"/>
      <w:pPr>
        <w:tabs>
          <w:tab w:val="num" w:pos="0"/>
        </w:tabs>
        <w:ind w:left="2868" w:hanging="360"/>
      </w:pPr>
    </w:lvl>
    <w:lvl w:ilvl="6">
      <w:start w:val="1"/>
      <w:numFmt w:val="decimal"/>
      <w:lvlText w:val="%7."/>
      <w:lvlJc w:val="left"/>
      <w:pPr>
        <w:tabs>
          <w:tab w:val="num" w:pos="0"/>
        </w:tabs>
        <w:ind w:left="3228" w:hanging="360"/>
      </w:pPr>
    </w:lvl>
    <w:lvl w:ilvl="7">
      <w:start w:val="1"/>
      <w:numFmt w:val="lowerLetter"/>
      <w:lvlText w:val="%8."/>
      <w:lvlJc w:val="left"/>
      <w:pPr>
        <w:tabs>
          <w:tab w:val="num" w:pos="0"/>
        </w:tabs>
        <w:ind w:left="3588" w:hanging="360"/>
      </w:pPr>
    </w:lvl>
    <w:lvl w:ilvl="8">
      <w:start w:val="1"/>
      <w:numFmt w:val="lowerRoman"/>
      <w:lvlText w:val="%9."/>
      <w:lvlJc w:val="left"/>
      <w:pPr>
        <w:tabs>
          <w:tab w:val="num" w:pos="0"/>
        </w:tabs>
        <w:ind w:left="3948" w:hanging="360"/>
      </w:pPr>
    </w:lvl>
  </w:abstractNum>
  <w:abstractNum w:abstractNumId="3">
    <w:nsid w:val="00000004"/>
    <w:multiLevelType w:val="multilevel"/>
    <w:tmpl w:val="00000004"/>
    <w:name w:val="WWNum7"/>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Num1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6"/>
    <w:multiLevelType w:val="multilevel"/>
    <w:tmpl w:val="00000006"/>
    <w:name w:val="WW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B5BC9C44"/>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nsid w:val="00000009"/>
    <w:multiLevelType w:val="multilevel"/>
    <w:tmpl w:val="00000009"/>
    <w:name w:val="WWNum3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3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rPr>
        <w:u w:val="none"/>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nsid w:val="15D2452A"/>
    <w:multiLevelType w:val="multilevel"/>
    <w:tmpl w:val="43D0EF1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205A5E58"/>
    <w:multiLevelType w:val="hybridMultilevel"/>
    <w:tmpl w:val="303850FA"/>
    <w:lvl w:ilvl="0" w:tplc="FEFE1104">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21C4192D"/>
    <w:multiLevelType w:val="multilevel"/>
    <w:tmpl w:val="0CDC92B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3">
    <w:nsid w:val="332B3B58"/>
    <w:multiLevelType w:val="multilevel"/>
    <w:tmpl w:val="A3E04416"/>
    <w:lvl w:ilvl="0">
      <w:start w:val="1"/>
      <w:numFmt w:val="decimal"/>
      <w:lvlText w:val="%1)"/>
      <w:lvlJc w:val="left"/>
      <w:pPr>
        <w:tabs>
          <w:tab w:val="num" w:pos="0"/>
        </w:tabs>
        <w:ind w:left="360" w:hanging="360"/>
      </w:pPr>
      <w:rPr>
        <w:rFonts w:hint="default"/>
      </w:rPr>
    </w:lvl>
    <w:lvl w:ilvl="1">
      <w:start w:val="8"/>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2"/>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nsid w:val="5A971953"/>
    <w:multiLevelType w:val="hybridMultilevel"/>
    <w:tmpl w:val="08B8CF1A"/>
    <w:lvl w:ilvl="0" w:tplc="ABF8BC20">
      <w:start w:val="1"/>
      <w:numFmt w:val="decimal"/>
      <w:pStyle w:val="berschrift2"/>
      <w:lvlText w:val="(%1)"/>
      <w:lvlJc w:val="left"/>
      <w:pPr>
        <w:ind w:left="1800" w:hanging="360"/>
      </w:pPr>
    </w:lvl>
    <w:lvl w:ilvl="1" w:tplc="0C070019" w:tentative="1">
      <w:start w:val="1"/>
      <w:numFmt w:val="lowerLetter"/>
      <w:lvlText w:val="%2."/>
      <w:lvlJc w:val="left"/>
      <w:pPr>
        <w:ind w:left="2520" w:hanging="360"/>
      </w:pPr>
    </w:lvl>
    <w:lvl w:ilvl="2" w:tplc="0C07001B" w:tentative="1">
      <w:start w:val="1"/>
      <w:numFmt w:val="lowerRoman"/>
      <w:lvlText w:val="%3."/>
      <w:lvlJc w:val="right"/>
      <w:pPr>
        <w:ind w:left="3240" w:hanging="180"/>
      </w:pPr>
    </w:lvl>
    <w:lvl w:ilvl="3" w:tplc="0C07000F" w:tentative="1">
      <w:start w:val="1"/>
      <w:numFmt w:val="decimal"/>
      <w:lvlText w:val="%4."/>
      <w:lvlJc w:val="left"/>
      <w:pPr>
        <w:ind w:left="3960" w:hanging="360"/>
      </w:pPr>
    </w:lvl>
    <w:lvl w:ilvl="4" w:tplc="0C070019" w:tentative="1">
      <w:start w:val="1"/>
      <w:numFmt w:val="lowerLetter"/>
      <w:lvlText w:val="%5."/>
      <w:lvlJc w:val="left"/>
      <w:pPr>
        <w:ind w:left="4680" w:hanging="360"/>
      </w:pPr>
    </w:lvl>
    <w:lvl w:ilvl="5" w:tplc="0C07001B" w:tentative="1">
      <w:start w:val="1"/>
      <w:numFmt w:val="lowerRoman"/>
      <w:lvlText w:val="%6."/>
      <w:lvlJc w:val="right"/>
      <w:pPr>
        <w:ind w:left="5400" w:hanging="180"/>
      </w:pPr>
    </w:lvl>
    <w:lvl w:ilvl="6" w:tplc="0C07000F" w:tentative="1">
      <w:start w:val="1"/>
      <w:numFmt w:val="decimal"/>
      <w:lvlText w:val="%7."/>
      <w:lvlJc w:val="left"/>
      <w:pPr>
        <w:ind w:left="6120" w:hanging="360"/>
      </w:pPr>
    </w:lvl>
    <w:lvl w:ilvl="7" w:tplc="0C070019" w:tentative="1">
      <w:start w:val="1"/>
      <w:numFmt w:val="lowerLetter"/>
      <w:lvlText w:val="%8."/>
      <w:lvlJc w:val="left"/>
      <w:pPr>
        <w:ind w:left="6840" w:hanging="360"/>
      </w:pPr>
    </w:lvl>
    <w:lvl w:ilvl="8" w:tplc="0C07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10"/>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trackRevisions/>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2802E9"/>
    <w:rsid w:val="001234DB"/>
    <w:rsid w:val="00227B2C"/>
    <w:rsid w:val="0026315B"/>
    <w:rsid w:val="002802E9"/>
    <w:rsid w:val="002B5A56"/>
    <w:rsid w:val="00320AB5"/>
    <w:rsid w:val="00331818"/>
    <w:rsid w:val="004B5169"/>
    <w:rsid w:val="004F3A9F"/>
    <w:rsid w:val="005475A6"/>
    <w:rsid w:val="0058793E"/>
    <w:rsid w:val="005E1987"/>
    <w:rsid w:val="006007E2"/>
    <w:rsid w:val="0067013E"/>
    <w:rsid w:val="00723570"/>
    <w:rsid w:val="007344BC"/>
    <w:rsid w:val="007636A0"/>
    <w:rsid w:val="0077324A"/>
    <w:rsid w:val="00860CF2"/>
    <w:rsid w:val="008B77E9"/>
    <w:rsid w:val="008D1D7C"/>
    <w:rsid w:val="0091665A"/>
    <w:rsid w:val="00A225D7"/>
    <w:rsid w:val="00C14F99"/>
    <w:rsid w:val="00C57557"/>
    <w:rsid w:val="00D259F0"/>
    <w:rsid w:val="00D277F9"/>
    <w:rsid w:val="00E21199"/>
    <w:rsid w:val="00E367C6"/>
    <w:rsid w:val="00E80E75"/>
    <w:rsid w:val="00F155EE"/>
    <w:rsid w:val="00F77F0D"/>
    <w:rsid w:val="00FC2A7C"/>
    <w:rsid w:val="00FC5A05"/>
    <w:rsid w:val="00FF66EF"/>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9F0"/>
    <w:pPr>
      <w:suppressAutoHyphens/>
      <w:spacing w:after="200" w:line="276" w:lineRule="auto"/>
    </w:pPr>
    <w:rPr>
      <w:rFonts w:ascii="Calibri" w:eastAsia="SimSun" w:hAnsi="Calibri"/>
      <w:kern w:val="1"/>
      <w:sz w:val="22"/>
      <w:szCs w:val="22"/>
      <w:lang w:val="de-DE" w:eastAsia="ar-SA"/>
    </w:rPr>
  </w:style>
  <w:style w:type="paragraph" w:styleId="berschrift1">
    <w:name w:val="heading 1"/>
    <w:basedOn w:val="Standard"/>
    <w:next w:val="Textkrper"/>
    <w:qFormat/>
    <w:rsid w:val="00D259F0"/>
    <w:pPr>
      <w:keepNext/>
      <w:numPr>
        <w:numId w:val="1"/>
      </w:numPr>
      <w:spacing w:before="480" w:after="0"/>
      <w:jc w:val="center"/>
      <w:outlineLvl w:val="0"/>
    </w:pPr>
    <w:rPr>
      <w:rFonts w:ascii="Cambria" w:hAnsi="Cambria"/>
      <w:b/>
      <w:bCs/>
      <w:sz w:val="28"/>
      <w:szCs w:val="28"/>
      <w:lang w:val="en-US"/>
    </w:rPr>
  </w:style>
  <w:style w:type="paragraph" w:styleId="berschrift2">
    <w:name w:val="heading 2"/>
    <w:basedOn w:val="Standard"/>
    <w:next w:val="Textkrper"/>
    <w:autoRedefine/>
    <w:qFormat/>
    <w:rsid w:val="00FC5A05"/>
    <w:pPr>
      <w:keepNext/>
      <w:numPr>
        <w:numId w:val="15"/>
      </w:numPr>
      <w:spacing w:before="480" w:after="360"/>
      <w:ind w:left="357" w:hanging="357"/>
      <w:jc w:val="center"/>
      <w:outlineLvl w:val="1"/>
    </w:pPr>
    <w:rPr>
      <w:rFonts w:ascii="Verdana" w:hAnsi="Verdana"/>
      <w:b/>
      <w:bCs/>
      <w:sz w:val="26"/>
      <w:szCs w:val="2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stLabel1">
    <w:name w:val="ListLabel 1"/>
    <w:rsid w:val="00D259F0"/>
    <w:rPr>
      <w:rFonts w:cs="Courier New"/>
    </w:rPr>
  </w:style>
  <w:style w:type="character" w:customStyle="1" w:styleId="ListLabel2">
    <w:name w:val="ListLabel 2"/>
    <w:rsid w:val="00D259F0"/>
    <w:rPr>
      <w:u w:val="none"/>
    </w:rPr>
  </w:style>
  <w:style w:type="character" w:customStyle="1" w:styleId="Absatz-Standardschriftart1">
    <w:name w:val="Absatz-Standardschriftart1"/>
    <w:rsid w:val="00D259F0"/>
  </w:style>
  <w:style w:type="character" w:customStyle="1" w:styleId="SprechblasentextZchn">
    <w:name w:val="Sprechblasentext Zchn"/>
    <w:basedOn w:val="Absatz-Standardschriftart1"/>
    <w:rsid w:val="00D259F0"/>
  </w:style>
  <w:style w:type="character" w:customStyle="1" w:styleId="KopfzeileZchn">
    <w:name w:val="Kopfzeile Zchn"/>
    <w:basedOn w:val="Absatz-Standardschriftart1"/>
    <w:rsid w:val="00D259F0"/>
  </w:style>
  <w:style w:type="character" w:customStyle="1" w:styleId="FuzeileZchn">
    <w:name w:val="Fußzeile Zchn"/>
    <w:basedOn w:val="Absatz-Standardschriftart1"/>
    <w:rsid w:val="00D259F0"/>
  </w:style>
  <w:style w:type="character" w:customStyle="1" w:styleId="berschrift1Zchn">
    <w:name w:val="Überschrift 1 Zchn"/>
    <w:basedOn w:val="Absatz-Standardschriftart1"/>
    <w:rsid w:val="00D259F0"/>
  </w:style>
  <w:style w:type="character" w:customStyle="1" w:styleId="berschrift2Zchn">
    <w:name w:val="Überschrift 2 Zchn"/>
    <w:basedOn w:val="Absatz-Standardschriftart1"/>
    <w:rsid w:val="00D259F0"/>
  </w:style>
  <w:style w:type="character" w:customStyle="1" w:styleId="Kommentarzeichen1">
    <w:name w:val="Kommentarzeichen1"/>
    <w:basedOn w:val="Absatz-Standardschriftart1"/>
    <w:rsid w:val="00D259F0"/>
  </w:style>
  <w:style w:type="character" w:customStyle="1" w:styleId="KommentartextZchn">
    <w:name w:val="Kommentartext Zchn"/>
    <w:basedOn w:val="Absatz-Standardschriftart1"/>
    <w:rsid w:val="00D259F0"/>
  </w:style>
  <w:style w:type="character" w:customStyle="1" w:styleId="KommentarthemaZchn">
    <w:name w:val="Kommentarthema Zchn"/>
    <w:basedOn w:val="KommentartextZchn"/>
    <w:rsid w:val="00D259F0"/>
  </w:style>
  <w:style w:type="paragraph" w:customStyle="1" w:styleId="berschrift">
    <w:name w:val="Überschrift"/>
    <w:basedOn w:val="Standard"/>
    <w:next w:val="Textkrper"/>
    <w:rsid w:val="00D259F0"/>
    <w:pPr>
      <w:keepNext/>
      <w:spacing w:before="240" w:after="120"/>
    </w:pPr>
    <w:rPr>
      <w:rFonts w:ascii="Arial" w:hAnsi="Arial" w:cs="Mangal"/>
      <w:sz w:val="28"/>
      <w:szCs w:val="28"/>
    </w:rPr>
  </w:style>
  <w:style w:type="paragraph" w:styleId="Textkrper">
    <w:name w:val="Body Text"/>
    <w:basedOn w:val="Standard"/>
    <w:rsid w:val="00D259F0"/>
    <w:pPr>
      <w:spacing w:after="120"/>
    </w:pPr>
  </w:style>
  <w:style w:type="paragraph" w:styleId="Liste">
    <w:name w:val="List"/>
    <w:basedOn w:val="Textkrper"/>
    <w:rsid w:val="00D259F0"/>
    <w:rPr>
      <w:rFonts w:cs="Mangal"/>
    </w:rPr>
  </w:style>
  <w:style w:type="paragraph" w:customStyle="1" w:styleId="Beschriftung1">
    <w:name w:val="Beschriftung1"/>
    <w:basedOn w:val="Standard"/>
    <w:rsid w:val="00D259F0"/>
    <w:pPr>
      <w:suppressLineNumbers/>
      <w:spacing w:before="120" w:after="120"/>
    </w:pPr>
    <w:rPr>
      <w:rFonts w:cs="Mangal"/>
      <w:i/>
      <w:iCs/>
      <w:sz w:val="24"/>
      <w:szCs w:val="24"/>
    </w:rPr>
  </w:style>
  <w:style w:type="paragraph" w:customStyle="1" w:styleId="Verzeichnis">
    <w:name w:val="Verzeichnis"/>
    <w:basedOn w:val="Standard"/>
    <w:rsid w:val="00D259F0"/>
    <w:pPr>
      <w:suppressLineNumbers/>
    </w:pPr>
    <w:rPr>
      <w:rFonts w:cs="Mangal"/>
    </w:rPr>
  </w:style>
  <w:style w:type="paragraph" w:customStyle="1" w:styleId="Listenabsatz1">
    <w:name w:val="Listenabsatz1"/>
    <w:basedOn w:val="Standard"/>
    <w:rsid w:val="00D259F0"/>
  </w:style>
  <w:style w:type="paragraph" w:customStyle="1" w:styleId="Sprechblasentext1">
    <w:name w:val="Sprechblasentext1"/>
    <w:basedOn w:val="Standard"/>
    <w:rsid w:val="00D259F0"/>
  </w:style>
  <w:style w:type="paragraph" w:styleId="Kopfzeile">
    <w:name w:val="header"/>
    <w:basedOn w:val="Standard"/>
    <w:rsid w:val="00D259F0"/>
    <w:pPr>
      <w:suppressLineNumbers/>
      <w:tabs>
        <w:tab w:val="center" w:pos="4536"/>
        <w:tab w:val="right" w:pos="9072"/>
      </w:tabs>
      <w:spacing w:after="0" w:line="100" w:lineRule="atLeast"/>
    </w:pPr>
  </w:style>
  <w:style w:type="paragraph" w:styleId="Fuzeile">
    <w:name w:val="footer"/>
    <w:basedOn w:val="Standard"/>
    <w:rsid w:val="00D259F0"/>
    <w:pPr>
      <w:suppressLineNumbers/>
      <w:tabs>
        <w:tab w:val="center" w:pos="4536"/>
        <w:tab w:val="right" w:pos="9072"/>
      </w:tabs>
      <w:spacing w:after="0" w:line="100" w:lineRule="atLeast"/>
    </w:pPr>
  </w:style>
  <w:style w:type="paragraph" w:customStyle="1" w:styleId="KeinLeerraum1">
    <w:name w:val="Kein Leerraum1"/>
    <w:rsid w:val="00D259F0"/>
    <w:pPr>
      <w:widowControl w:val="0"/>
      <w:suppressAutoHyphens/>
      <w:spacing w:after="200" w:line="276" w:lineRule="auto"/>
    </w:pPr>
    <w:rPr>
      <w:rFonts w:ascii="Calibri" w:eastAsia="SimSun" w:hAnsi="Calibri"/>
      <w:kern w:val="1"/>
      <w:sz w:val="22"/>
      <w:szCs w:val="22"/>
      <w:lang w:val="de-DE" w:eastAsia="ar-SA"/>
    </w:rPr>
  </w:style>
  <w:style w:type="paragraph" w:customStyle="1" w:styleId="Kommentartext1">
    <w:name w:val="Kommentartext1"/>
    <w:basedOn w:val="Standard"/>
    <w:rsid w:val="00D259F0"/>
  </w:style>
  <w:style w:type="paragraph" w:customStyle="1" w:styleId="Kommentarthema1">
    <w:name w:val="Kommentarthema1"/>
    <w:basedOn w:val="Kommentartext1"/>
    <w:rsid w:val="00D259F0"/>
  </w:style>
  <w:style w:type="paragraph" w:styleId="Sprechblasentext">
    <w:name w:val="Balloon Text"/>
    <w:basedOn w:val="Standard"/>
    <w:link w:val="SprechblasentextZchn1"/>
    <w:uiPriority w:val="99"/>
    <w:semiHidden/>
    <w:unhideWhenUsed/>
    <w:rsid w:val="002802E9"/>
    <w:pPr>
      <w:spacing w:after="0" w:line="240" w:lineRule="auto"/>
    </w:pPr>
    <w:rPr>
      <w:rFonts w:ascii="Tahoma" w:hAnsi="Tahoma" w:cs="Tahoma"/>
      <w:sz w:val="16"/>
      <w:szCs w:val="16"/>
    </w:rPr>
  </w:style>
  <w:style w:type="character" w:customStyle="1" w:styleId="SprechblasentextZchn1">
    <w:name w:val="Sprechblasentext Zchn1"/>
    <w:basedOn w:val="Absatz-Standardschriftart"/>
    <w:link w:val="Sprechblasentext"/>
    <w:uiPriority w:val="99"/>
    <w:semiHidden/>
    <w:rsid w:val="002802E9"/>
    <w:rPr>
      <w:rFonts w:ascii="Tahoma" w:eastAsia="SimSun" w:hAnsi="Tahoma" w:cs="Tahoma"/>
      <w:kern w:val="1"/>
      <w:sz w:val="16"/>
      <w:szCs w:val="16"/>
      <w:lang w:val="de-DE"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7F362-E629-49FE-A767-2BC02AB6A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991</Words>
  <Characters>6249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7226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joerg.mirtl</dc:creator>
  <cp:keywords/>
  <cp:lastModifiedBy>joerg.mirtl</cp:lastModifiedBy>
  <cp:revision>5</cp:revision>
  <cp:lastPrinted>2011-05-24T06:38:00Z</cp:lastPrinted>
  <dcterms:created xsi:type="dcterms:W3CDTF">2012-11-23T11:26:00Z</dcterms:created>
  <dcterms:modified xsi:type="dcterms:W3CDTF">2013-01-07T10:26:00Z</dcterms:modified>
</cp:coreProperties>
</file>